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color w:val="000000"/>
          <w:sz w:val="24"/>
          <w:szCs w:val="24"/>
        </w:rPr>
        <w:t>Dear Family,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color w:val="000000"/>
          <w:sz w:val="24"/>
          <w:szCs w:val="24"/>
        </w:rPr>
        <w:t xml:space="preserve">The Grade 7 students are beginning to study </w:t>
      </w:r>
      <w:r w:rsidRPr="00A9230F">
        <w:rPr>
          <w:rFonts w:eastAsia="Times New Roman" w:cs="Arial"/>
          <w:b/>
          <w:i/>
          <w:iCs/>
          <w:color w:val="000000"/>
          <w:sz w:val="24"/>
          <w:szCs w:val="24"/>
        </w:rPr>
        <w:t>Unit 1: Ratios and Proportionality</w:t>
      </w:r>
      <w:r w:rsidRPr="00A9230F">
        <w:rPr>
          <w:rFonts w:eastAsia="Times New Roman" w:cs="Arial"/>
          <w:color w:val="000000"/>
          <w:sz w:val="24"/>
          <w:szCs w:val="24"/>
        </w:rPr>
        <w:t>. Here is a little information about what your student will be learning in this unit.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t>What is the Focus of this Unit?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>This unit builds upon the concepts of ratio and unit rate as well as the mathematical language used to describe this relationship. At the end of this u</w:t>
      </w:r>
      <w:r w:rsidR="006856F1">
        <w:rPr>
          <w:rFonts w:eastAsia="Times New Roman" w:cs="Arial"/>
          <w:sz w:val="24"/>
          <w:szCs w:val="24"/>
        </w:rPr>
        <w:t>nit, your child will be able to</w:t>
      </w:r>
      <w:r w:rsidRPr="00A9230F">
        <w:rPr>
          <w:rFonts w:eastAsia="Times New Roman" w:cs="Arial"/>
          <w:sz w:val="24"/>
          <w:szCs w:val="24"/>
        </w:rPr>
        <w:t>:</w:t>
      </w:r>
    </w:p>
    <w:p w:rsidR="0068039F" w:rsidRPr="00A9230F" w:rsidRDefault="006856F1" w:rsidP="006803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>Fluently</w:t>
      </w:r>
      <w:r w:rsidR="0068039F" w:rsidRPr="00A9230F">
        <w:rPr>
          <w:rFonts w:eastAsia="Times New Roman" w:cs="Arial"/>
          <w:sz w:val="24"/>
          <w:szCs w:val="24"/>
        </w:rPr>
        <w:t xml:space="preserve"> compute unit rates.</w:t>
      </w:r>
    </w:p>
    <w:p w:rsidR="0068039F" w:rsidRPr="00A9230F" w:rsidRDefault="006856F1" w:rsidP="006803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>Represent</w:t>
      </w:r>
      <w:r w:rsidR="0068039F" w:rsidRPr="00A9230F">
        <w:rPr>
          <w:rFonts w:eastAsia="Times New Roman" w:cs="Arial"/>
          <w:sz w:val="24"/>
          <w:szCs w:val="24"/>
        </w:rPr>
        <w:t xml:space="preserve"> proportional relationships between quantities.</w:t>
      </w:r>
    </w:p>
    <w:p w:rsidR="0068039F" w:rsidRPr="00A9230F" w:rsidRDefault="006856F1" w:rsidP="006803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>Compare</w:t>
      </w:r>
      <w:r w:rsidR="0068039F" w:rsidRPr="00A9230F">
        <w:rPr>
          <w:rFonts w:eastAsia="Times New Roman" w:cs="Arial"/>
          <w:sz w:val="24"/>
          <w:szCs w:val="24"/>
        </w:rPr>
        <w:t xml:space="preserve"> and contrast proportional relationships in real world contexts. 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A9230F" w:rsidRPr="00A9230F" w:rsidRDefault="00A9230F" w:rsidP="00A9230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t>What are the mathematical practice expectations for my student?</w:t>
      </w:r>
    </w:p>
    <w:p w:rsidR="00A9230F" w:rsidRPr="00A9230F" w:rsidRDefault="00A9230F" w:rsidP="00A9230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A9230F" w:rsidRPr="00A9230F" w:rsidRDefault="00A9230F" w:rsidP="00A9230F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Cs/>
          <w:sz w:val="24"/>
          <w:szCs w:val="24"/>
        </w:rPr>
      </w:pPr>
      <w:r w:rsidRPr="00157015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E811B" wp14:editId="145BDD8D">
                <wp:simplePos x="0" y="0"/>
                <wp:positionH relativeFrom="column">
                  <wp:posOffset>-57150</wp:posOffset>
                </wp:positionH>
                <wp:positionV relativeFrom="paragraph">
                  <wp:posOffset>307340</wp:posOffset>
                </wp:positionV>
                <wp:extent cx="80010" cy="266700"/>
                <wp:effectExtent l="0" t="254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30F" w:rsidRDefault="00A9230F" w:rsidP="00A923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E811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.5pt;margin-top:24.2pt;width:6.3pt;height:2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q2fwIAAA4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" stroked="f">
                <v:textbox style="mso-fit-shape-to-text:t">
                  <w:txbxContent>
                    <w:p w:rsidR="00A9230F" w:rsidRDefault="00A9230F" w:rsidP="00A9230F"/>
                  </w:txbxContent>
                </v:textbox>
              </v:shape>
            </w:pict>
          </mc:Fallback>
        </mc:AlternateContent>
      </w:r>
      <w:r w:rsidRPr="00157015">
        <w:rPr>
          <w:rFonts w:cs="Calibri"/>
          <w:bCs/>
          <w:i/>
          <w:sz w:val="24"/>
          <w:szCs w:val="24"/>
        </w:rPr>
        <w:t>Make sense of problems and persevere in solving them.</w:t>
      </w:r>
      <w:r w:rsidRPr="00A9230F">
        <w:rPr>
          <w:rFonts w:cs="Calibri"/>
          <w:b/>
          <w:bCs/>
          <w:sz w:val="24"/>
          <w:szCs w:val="24"/>
        </w:rPr>
        <w:t xml:space="preserve">  </w:t>
      </w:r>
      <w:r w:rsidRPr="00A9230F">
        <w:rPr>
          <w:rFonts w:cs="Calibri"/>
          <w:bCs/>
          <w:sz w:val="24"/>
          <w:szCs w:val="24"/>
        </w:rPr>
        <w:t>Students make sense of ratio and unit rates in real-world contexts. They persevere by selecting and using appropriate representations for the given contexts.</w:t>
      </w:r>
    </w:p>
    <w:p w:rsidR="00A9230F" w:rsidRPr="00A9230F" w:rsidRDefault="00A9230F" w:rsidP="00A9230F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Cs/>
          <w:sz w:val="24"/>
          <w:szCs w:val="24"/>
        </w:rPr>
      </w:pPr>
      <w:r w:rsidRPr="00157015">
        <w:rPr>
          <w:rFonts w:cs="Calibri"/>
          <w:bCs/>
          <w:i/>
          <w:sz w:val="24"/>
          <w:szCs w:val="24"/>
        </w:rPr>
        <w:t>Reason abstractly and quantitatively</w:t>
      </w:r>
      <w:r w:rsidRPr="00A9230F">
        <w:rPr>
          <w:rFonts w:cs="Calibri"/>
          <w:b/>
          <w:bCs/>
          <w:sz w:val="24"/>
          <w:szCs w:val="24"/>
        </w:rPr>
        <w:t>.</w:t>
      </w:r>
      <w:r w:rsidRPr="00A9230F">
        <w:rPr>
          <w:rFonts w:cs="Calibri"/>
          <w:bCs/>
          <w:sz w:val="24"/>
          <w:szCs w:val="24"/>
        </w:rPr>
        <w:t xml:space="preserve">  Students will reason about the value of the rational number in relation the models that are created to represent them.  They will justify answers through conversations and reasoning. </w:t>
      </w:r>
    </w:p>
    <w:p w:rsidR="00A9230F" w:rsidRPr="00A9230F" w:rsidRDefault="00A9230F" w:rsidP="00A9230F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Cs/>
          <w:sz w:val="24"/>
          <w:szCs w:val="24"/>
        </w:rPr>
      </w:pPr>
      <w:r w:rsidRPr="00157015">
        <w:rPr>
          <w:rFonts w:cs="Calibri"/>
          <w:bCs/>
          <w:i/>
          <w:sz w:val="24"/>
          <w:szCs w:val="24"/>
        </w:rPr>
        <w:t>Model with mathematics</w:t>
      </w:r>
      <w:r w:rsidRPr="00A9230F">
        <w:rPr>
          <w:rFonts w:cs="Calibri"/>
          <w:b/>
          <w:bCs/>
          <w:sz w:val="24"/>
          <w:szCs w:val="24"/>
        </w:rPr>
        <w:t xml:space="preserve">. </w:t>
      </w:r>
      <w:r w:rsidRPr="00A9230F">
        <w:rPr>
          <w:rFonts w:cs="Calibri"/>
          <w:bCs/>
          <w:sz w:val="24"/>
          <w:szCs w:val="24"/>
        </w:rPr>
        <w:t xml:space="preserve"> Students create models using tape diagrams, double number lines, manipulatives, tables and graphs to represent real-world and mathematical situations involving ratios and proportions.  For example, students will examine the relationships between slopes of lines and ratio tables in the context of given situations. </w:t>
      </w:r>
    </w:p>
    <w:p w:rsidR="00A9230F" w:rsidRPr="00A9230F" w:rsidRDefault="00A9230F" w:rsidP="00A9230F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Cs/>
          <w:sz w:val="24"/>
          <w:szCs w:val="24"/>
        </w:rPr>
      </w:pPr>
      <w:bookmarkStart w:id="0" w:name="_GoBack"/>
      <w:r w:rsidRPr="00157015">
        <w:rPr>
          <w:rFonts w:cs="Calibri"/>
          <w:bCs/>
          <w:i/>
          <w:sz w:val="24"/>
          <w:szCs w:val="24"/>
        </w:rPr>
        <w:t>Attend to precision.</w:t>
      </w:r>
      <w:r w:rsidRPr="00A9230F">
        <w:rPr>
          <w:rFonts w:cs="Calibri"/>
          <w:b/>
          <w:bCs/>
          <w:sz w:val="24"/>
          <w:szCs w:val="24"/>
        </w:rPr>
        <w:t xml:space="preserve">  </w:t>
      </w:r>
      <w:bookmarkEnd w:id="0"/>
      <w:r w:rsidRPr="00A9230F">
        <w:rPr>
          <w:rFonts w:cs="Calibri"/>
          <w:bCs/>
          <w:sz w:val="24"/>
          <w:szCs w:val="24"/>
        </w:rPr>
        <w:t>Students attend to the ratio and rate language studied in grade 6 to represent and solve problems involving rates and ratios.</w:t>
      </w:r>
    </w:p>
    <w:p w:rsidR="00A9230F" w:rsidRDefault="00A9230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t>How does this look different than what may have been taught in the past before the transition to the New Illinois Learning Standards for Mathematics?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C5255C" w:rsidRPr="00A9230F" w:rsidRDefault="0068039F" w:rsidP="00A9230F">
      <w:pPr>
        <w:rPr>
          <w:rFonts w:eastAsia="Times New Roman" w:cs="Arial"/>
          <w:bCs/>
          <w:color w:val="000000"/>
          <w:sz w:val="24"/>
          <w:szCs w:val="24"/>
        </w:rPr>
      </w:pPr>
      <w:r w:rsidRPr="00A9230F">
        <w:rPr>
          <w:rFonts w:eastAsia="Times New Roman" w:cs="Arial"/>
          <w:bCs/>
          <w:color w:val="000000"/>
          <w:sz w:val="24"/>
          <w:szCs w:val="24"/>
        </w:rPr>
        <w:t>Students have previously worked with ratio concepts and reasoning. This unit w</w:t>
      </w:r>
      <w:r w:rsidR="00A9230F">
        <w:rPr>
          <w:rFonts w:eastAsia="Times New Roman" w:cs="Arial"/>
          <w:bCs/>
          <w:color w:val="000000"/>
          <w:sz w:val="24"/>
          <w:szCs w:val="24"/>
        </w:rPr>
        <w:t xml:space="preserve">ill build upon their experience </w:t>
      </w:r>
      <w:r w:rsidRPr="00A9230F">
        <w:rPr>
          <w:rFonts w:eastAsia="Times New Roman" w:cs="Arial"/>
          <w:bCs/>
          <w:color w:val="000000"/>
          <w:sz w:val="24"/>
          <w:szCs w:val="24"/>
        </w:rPr>
        <w:t>to include proportional relationships and problem solving. Students will use tape diagrams, double line diagrams, tables, graphs, and other models to explore and understand these concepts in real world contexts.</w:t>
      </w:r>
      <w:r w:rsidR="00C5255C" w:rsidRPr="00A9230F">
        <w:rPr>
          <w:rFonts w:eastAsia="Times New Roman" w:cs="Arial"/>
          <w:bCs/>
          <w:color w:val="000000"/>
          <w:sz w:val="24"/>
          <w:szCs w:val="24"/>
        </w:rPr>
        <w:t xml:space="preserve"> Here is an example:</w:t>
      </w:r>
    </w:p>
    <w:p w:rsidR="007F73A5" w:rsidRPr="00A9230F" w:rsidRDefault="00A9230F" w:rsidP="00A9230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F73A5" w:rsidRPr="00A9230F">
        <w:rPr>
          <w:rFonts w:cs="Arial"/>
          <w:sz w:val="24"/>
          <w:szCs w:val="24"/>
        </w:rPr>
        <w:t>Does the table show a proportional relationship? Explain.</w:t>
      </w:r>
    </w:p>
    <w:tbl>
      <w:tblPr>
        <w:tblStyle w:val="TableGrid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2538"/>
        <w:gridCol w:w="1440"/>
        <w:gridCol w:w="1440"/>
        <w:gridCol w:w="1440"/>
        <w:gridCol w:w="1440"/>
      </w:tblGrid>
      <w:tr w:rsidR="007F73A5" w:rsidRPr="00A9230F" w:rsidTr="004E5E7B">
        <w:trPr>
          <w:trHeight w:val="432"/>
        </w:trPr>
        <w:tc>
          <w:tcPr>
            <w:tcW w:w="2538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 xml:space="preserve">Minutes 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7F73A5" w:rsidRPr="00A9230F" w:rsidTr="004E5E7B">
        <w:trPr>
          <w:trHeight w:val="432"/>
        </w:trPr>
        <w:tc>
          <w:tcPr>
            <w:tcW w:w="2538" w:type="dxa"/>
            <w:vAlign w:val="center"/>
          </w:tcPr>
          <w:p w:rsidR="007F73A5" w:rsidRPr="00A9230F" w:rsidRDefault="00C5255C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Shirt</w:t>
            </w:r>
            <w:r w:rsidR="007F73A5" w:rsidRPr="00A9230F">
              <w:rPr>
                <w:b/>
                <w:color w:val="000000" w:themeColor="text1"/>
                <w:sz w:val="24"/>
                <w:szCs w:val="24"/>
              </w:rPr>
              <w:t>s Made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7F73A5" w:rsidRPr="00A9230F" w:rsidRDefault="007F73A5" w:rsidP="004E5E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230F">
              <w:rPr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7F73A5" w:rsidRPr="00A9230F" w:rsidRDefault="007F73A5" w:rsidP="007F73A5">
      <w:pPr>
        <w:jc w:val="both"/>
        <w:rPr>
          <w:b/>
          <w:color w:val="000000" w:themeColor="text1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t>How will my student apply what he/she learns in the future?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pStyle w:val="NoSpacing"/>
        <w:rPr>
          <w:rFonts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 xml:space="preserve">Students will apply </w:t>
      </w:r>
      <w:r w:rsidRPr="00A9230F">
        <w:rPr>
          <w:rFonts w:cs="Arial"/>
          <w:sz w:val="24"/>
          <w:szCs w:val="24"/>
        </w:rPr>
        <w:t>these concepts of proportional relationships between quantities to situations involving multi-step ratio and percent problems</w:t>
      </w:r>
      <w:r w:rsidR="00A9230F">
        <w:rPr>
          <w:rFonts w:cs="Arial"/>
          <w:sz w:val="24"/>
          <w:szCs w:val="24"/>
        </w:rPr>
        <w:t>, such as percent of increase and decrease, taxes, tips, commissions and fees, markups and discounts, and percent error.  In addition, the will use these concepts and skills with</w:t>
      </w:r>
      <w:r w:rsidRPr="00A9230F">
        <w:rPr>
          <w:rFonts w:cs="Arial"/>
          <w:sz w:val="24"/>
          <w:szCs w:val="24"/>
        </w:rPr>
        <w:t xml:space="preserve"> scale drawings in real world contexts. 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lastRenderedPageBreak/>
        <w:t xml:space="preserve">How can </w:t>
      </w:r>
      <w:r w:rsidR="00A9230F">
        <w:rPr>
          <w:rFonts w:eastAsia="Times New Roman" w:cs="Arial"/>
          <w:b/>
          <w:bCs/>
          <w:color w:val="000000"/>
          <w:sz w:val="24"/>
          <w:szCs w:val="24"/>
        </w:rPr>
        <w:t>I</w:t>
      </w:r>
      <w:r w:rsidRPr="00A9230F">
        <w:rPr>
          <w:rFonts w:eastAsia="Times New Roman" w:cs="Arial"/>
          <w:b/>
          <w:bCs/>
          <w:color w:val="000000"/>
          <w:sz w:val="24"/>
          <w:szCs w:val="24"/>
        </w:rPr>
        <w:t xml:space="preserve"> help </w:t>
      </w:r>
      <w:r w:rsidR="00A9230F">
        <w:rPr>
          <w:rFonts w:eastAsia="Times New Roman" w:cs="Arial"/>
          <w:b/>
          <w:bCs/>
          <w:color w:val="000000"/>
          <w:sz w:val="24"/>
          <w:szCs w:val="24"/>
        </w:rPr>
        <w:t>my</w:t>
      </w:r>
      <w:r w:rsidRPr="00A9230F">
        <w:rPr>
          <w:rFonts w:eastAsia="Times New Roman" w:cs="Arial"/>
          <w:b/>
          <w:bCs/>
          <w:color w:val="000000"/>
          <w:sz w:val="24"/>
          <w:szCs w:val="24"/>
        </w:rPr>
        <w:t xml:space="preserve"> student at home?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</w:rPr>
        <w:t xml:space="preserve">One of the most important things you can do at home is to ask your student to explain the models he/she is creating or interpreting. </w:t>
      </w:r>
      <w:r w:rsidRPr="00A9230F">
        <w:rPr>
          <w:rFonts w:cs="Arial"/>
          <w:sz w:val="24"/>
          <w:szCs w:val="24"/>
        </w:rPr>
        <w:t xml:space="preserve">By explaining the models, students share their understanding of the mathematics and their strategic reasoning when solving problems.  Consider asking some real-life problems that use proportional relationships.  For example, if a recipe for 3 dozen cookies requires 2 eggs, how many eggs would be required for 6 dozen cookies? 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A9230F">
        <w:rPr>
          <w:rFonts w:eastAsia="Times New Roman" w:cs="Arial"/>
          <w:b/>
          <w:bCs/>
          <w:color w:val="000000"/>
          <w:sz w:val="24"/>
          <w:szCs w:val="24"/>
        </w:rPr>
        <w:t>What are some vocabulary terms that will be addressed?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230F">
        <w:rPr>
          <w:rFonts w:eastAsia="Times New Roman" w:cs="Arial"/>
          <w:bCs/>
          <w:color w:val="000000"/>
          <w:sz w:val="24"/>
          <w:szCs w:val="24"/>
        </w:rPr>
        <w:t>Here are a few vocabulary terms your student may encounter during this unit: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  <w:u w:val="single"/>
        </w:rPr>
        <w:t xml:space="preserve">Ratio </w:t>
      </w:r>
      <w:r w:rsidRPr="00A9230F">
        <w:rPr>
          <w:rFonts w:eastAsia="Times New Roman" w:cs="Arial"/>
          <w:sz w:val="24"/>
          <w:szCs w:val="24"/>
        </w:rPr>
        <w:t xml:space="preserve">– a comparison of two quantities. It can be written as a fraction, with a colon, or with the word “to.”  </w:t>
      </w:r>
      <w:proofErr w:type="spellStart"/>
      <w:r w:rsidRPr="00A9230F">
        <w:rPr>
          <w:rFonts w:eastAsia="Times New Roman" w:cs="Arial"/>
          <w:sz w:val="24"/>
          <w:szCs w:val="24"/>
        </w:rPr>
        <w:t>Eg</w:t>
      </w:r>
      <w:proofErr w:type="spellEnd"/>
      <w:r w:rsidRPr="00A9230F">
        <w:rPr>
          <w:rFonts w:eastAsia="Times New Roman" w:cs="Arial"/>
          <w:sz w:val="24"/>
          <w:szCs w:val="24"/>
        </w:rPr>
        <w:t>. 2/3</w:t>
      </w:r>
      <w:proofErr w:type="gramStart"/>
      <w:r w:rsidRPr="00A9230F">
        <w:rPr>
          <w:rFonts w:eastAsia="Times New Roman" w:cs="Arial"/>
          <w:sz w:val="24"/>
          <w:szCs w:val="24"/>
        </w:rPr>
        <w:t>,  2:3</w:t>
      </w:r>
      <w:proofErr w:type="gramEnd"/>
      <w:r w:rsidRPr="00A9230F">
        <w:rPr>
          <w:rFonts w:eastAsia="Times New Roman" w:cs="Arial"/>
          <w:sz w:val="24"/>
          <w:szCs w:val="24"/>
        </w:rPr>
        <w:t>,  2 to 3.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  <w:u w:val="single"/>
        </w:rPr>
        <w:t>Rate</w:t>
      </w:r>
      <w:r w:rsidRPr="00A9230F">
        <w:rPr>
          <w:rFonts w:eastAsia="Times New Roman" w:cs="Arial"/>
          <w:sz w:val="24"/>
          <w:szCs w:val="24"/>
        </w:rPr>
        <w:t xml:space="preserve"> – a comparison of two quantities of unlike units. For example, miles per hour, cans per minute, or dollars per dozen. 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  <w:u w:val="single"/>
        </w:rPr>
        <w:t>Proportion</w:t>
      </w:r>
      <w:r w:rsidRPr="00A9230F">
        <w:rPr>
          <w:rFonts w:eastAsia="Times New Roman" w:cs="Arial"/>
          <w:sz w:val="24"/>
          <w:szCs w:val="24"/>
        </w:rPr>
        <w:t xml:space="preserve"> – a relationship between two quantities that maintains a constant ratio. For example, 2/3 is proportional to 4/6. </w:t>
      </w:r>
    </w:p>
    <w:p w:rsidR="0068039F" w:rsidRPr="00A9230F" w:rsidRDefault="0068039F" w:rsidP="0068039F">
      <w:pPr>
        <w:spacing w:after="0" w:line="240" w:lineRule="auto"/>
        <w:rPr>
          <w:rFonts w:eastAsia="Times New Roman" w:cs="Arial"/>
          <w:sz w:val="24"/>
          <w:szCs w:val="24"/>
        </w:rPr>
      </w:pPr>
      <w:r w:rsidRPr="00A9230F">
        <w:rPr>
          <w:rFonts w:eastAsia="Times New Roman" w:cs="Arial"/>
          <w:sz w:val="24"/>
          <w:szCs w:val="24"/>
          <w:u w:val="single"/>
        </w:rPr>
        <w:t>Unit rate</w:t>
      </w:r>
      <w:r w:rsidRPr="00A9230F">
        <w:rPr>
          <w:rFonts w:eastAsia="Times New Roman" w:cs="Arial"/>
          <w:sz w:val="24"/>
          <w:szCs w:val="24"/>
        </w:rPr>
        <w:t xml:space="preserve"> – a rate/ratio expressed as a quantity of one. For example, 60 miles in one hour would be a unit rate. </w:t>
      </w:r>
    </w:p>
    <w:p w:rsidR="0068039F" w:rsidRPr="00A9230F" w:rsidRDefault="0068039F" w:rsidP="0068039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9230F" w:rsidRPr="00A9230F" w:rsidRDefault="00A9230F" w:rsidP="00A9230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What are some helpful resources?</w:t>
      </w:r>
    </w:p>
    <w:p w:rsidR="00A9230F" w:rsidRPr="00A9230F" w:rsidRDefault="00A9230F" w:rsidP="00A9230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9230F" w:rsidRPr="00A9230F" w:rsidRDefault="00A9230F" w:rsidP="00A9230F">
      <w:pPr>
        <w:spacing w:after="0" w:line="240" w:lineRule="auto"/>
        <w:rPr>
          <w:sz w:val="24"/>
          <w:szCs w:val="24"/>
        </w:rPr>
      </w:pPr>
      <w:r w:rsidRPr="00A9230F">
        <w:rPr>
          <w:sz w:val="24"/>
          <w:szCs w:val="24"/>
        </w:rPr>
        <w:t>Compute unit rates associated with ratios of fractions:</w:t>
      </w:r>
    </w:p>
    <w:p w:rsidR="00A9230F" w:rsidRPr="00A9230F" w:rsidRDefault="00B83EF0" w:rsidP="00A9230F">
      <w:pPr>
        <w:spacing w:after="0" w:line="240" w:lineRule="auto"/>
        <w:rPr>
          <w:sz w:val="24"/>
          <w:szCs w:val="24"/>
        </w:rPr>
      </w:pPr>
      <w:hyperlink r:id="rId5" w:history="1">
        <w:r w:rsidR="00A9230F" w:rsidRPr="00A9230F">
          <w:rPr>
            <w:rStyle w:val="Hyperlink"/>
            <w:sz w:val="24"/>
            <w:szCs w:val="24"/>
          </w:rPr>
          <w:t>https://learnzillion.com/lessonsets/521</w:t>
        </w:r>
      </w:hyperlink>
      <w:r w:rsidR="00A9230F" w:rsidRPr="00A9230F">
        <w:rPr>
          <w:sz w:val="24"/>
          <w:szCs w:val="24"/>
        </w:rPr>
        <w:t xml:space="preserve"> </w:t>
      </w:r>
    </w:p>
    <w:p w:rsidR="00A9230F" w:rsidRPr="00A9230F" w:rsidRDefault="00B83EF0" w:rsidP="00A9230F">
      <w:pPr>
        <w:spacing w:after="0" w:line="240" w:lineRule="auto"/>
        <w:rPr>
          <w:sz w:val="24"/>
          <w:szCs w:val="24"/>
        </w:rPr>
      </w:pPr>
      <w:hyperlink r:id="rId6" w:history="1">
        <w:r w:rsidR="00A9230F" w:rsidRPr="00A9230F">
          <w:rPr>
            <w:rStyle w:val="Hyperlink"/>
            <w:sz w:val="24"/>
            <w:szCs w:val="24"/>
          </w:rPr>
          <w:t>https://learnzillion.com/lessonsets/107</w:t>
        </w:r>
      </w:hyperlink>
      <w:r w:rsidR="00A9230F" w:rsidRPr="00A9230F">
        <w:rPr>
          <w:sz w:val="24"/>
          <w:szCs w:val="24"/>
        </w:rPr>
        <w:t xml:space="preserve"> </w:t>
      </w:r>
    </w:p>
    <w:p w:rsidR="00A9230F" w:rsidRPr="00A9230F" w:rsidRDefault="00B83EF0" w:rsidP="00A9230F">
      <w:pPr>
        <w:spacing w:after="0" w:line="240" w:lineRule="auto"/>
        <w:rPr>
          <w:sz w:val="24"/>
          <w:szCs w:val="24"/>
        </w:rPr>
      </w:pPr>
      <w:hyperlink r:id="rId7" w:history="1">
        <w:r w:rsidR="00A9230F" w:rsidRPr="00A9230F">
          <w:rPr>
            <w:rStyle w:val="Hyperlink"/>
            <w:sz w:val="24"/>
            <w:szCs w:val="24"/>
          </w:rPr>
          <w:t>https://learnzillion.com/lessonsets/459</w:t>
        </w:r>
      </w:hyperlink>
      <w:r w:rsidR="00A9230F" w:rsidRPr="00A9230F">
        <w:rPr>
          <w:sz w:val="24"/>
          <w:szCs w:val="24"/>
        </w:rPr>
        <w:t xml:space="preserve"> </w:t>
      </w:r>
    </w:p>
    <w:p w:rsidR="00A9230F" w:rsidRPr="00A9230F" w:rsidRDefault="00A9230F" w:rsidP="00A9230F">
      <w:pPr>
        <w:spacing w:after="0" w:line="240" w:lineRule="auto"/>
        <w:rPr>
          <w:sz w:val="24"/>
          <w:szCs w:val="24"/>
        </w:rPr>
      </w:pPr>
      <w:r w:rsidRPr="00A9230F">
        <w:rPr>
          <w:sz w:val="24"/>
          <w:szCs w:val="24"/>
        </w:rPr>
        <w:t>Recognize and represent proportional relationships; interpret a point on the graph of a proportional relationship:</w:t>
      </w:r>
    </w:p>
    <w:p w:rsidR="00A9230F" w:rsidRPr="00A9230F" w:rsidRDefault="00B83EF0" w:rsidP="00A9230F">
      <w:pPr>
        <w:spacing w:after="0" w:line="240" w:lineRule="auto"/>
        <w:rPr>
          <w:sz w:val="24"/>
          <w:szCs w:val="24"/>
        </w:rPr>
      </w:pPr>
      <w:hyperlink r:id="rId8" w:history="1">
        <w:r w:rsidR="00A9230F" w:rsidRPr="00A9230F">
          <w:rPr>
            <w:rStyle w:val="Hyperlink"/>
            <w:sz w:val="24"/>
            <w:szCs w:val="24"/>
          </w:rPr>
          <w:t>https://learnzillion.com/lessonsets/590</w:t>
        </w:r>
      </w:hyperlink>
      <w:r w:rsidR="00A9230F" w:rsidRPr="00A9230F">
        <w:rPr>
          <w:sz w:val="24"/>
          <w:szCs w:val="24"/>
        </w:rPr>
        <w:t xml:space="preserve"> </w:t>
      </w:r>
    </w:p>
    <w:p w:rsidR="00A9230F" w:rsidRPr="00EF4D59" w:rsidRDefault="00B83EF0" w:rsidP="00A9230F">
      <w:pPr>
        <w:spacing w:after="0" w:line="240" w:lineRule="auto"/>
      </w:pPr>
      <w:hyperlink r:id="rId9" w:history="1">
        <w:r w:rsidR="00A9230F" w:rsidRPr="00A9230F">
          <w:rPr>
            <w:rStyle w:val="Hyperlink"/>
            <w:sz w:val="24"/>
            <w:szCs w:val="24"/>
          </w:rPr>
          <w:t>https://learnzillion.com/lessonsets/612</w:t>
        </w:r>
      </w:hyperlink>
      <w:r w:rsidR="00A9230F" w:rsidRPr="00EF4D59">
        <w:t xml:space="preserve"> </w:t>
      </w:r>
    </w:p>
    <w:p w:rsidR="001D2ECC" w:rsidRPr="00A9230F" w:rsidRDefault="001D2ECC">
      <w:pPr>
        <w:rPr>
          <w:sz w:val="24"/>
          <w:szCs w:val="24"/>
        </w:rPr>
      </w:pPr>
    </w:p>
    <w:sectPr w:rsidR="001D2ECC" w:rsidRPr="00A9230F" w:rsidSect="00A92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1B85"/>
    <w:multiLevelType w:val="hybridMultilevel"/>
    <w:tmpl w:val="8A92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5465"/>
    <w:multiLevelType w:val="hybridMultilevel"/>
    <w:tmpl w:val="C68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3727"/>
    <w:multiLevelType w:val="hybridMultilevel"/>
    <w:tmpl w:val="6A92D6AE"/>
    <w:lvl w:ilvl="0" w:tplc="84DA484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9F"/>
    <w:rsid w:val="00157015"/>
    <w:rsid w:val="001D2ECC"/>
    <w:rsid w:val="003A6B15"/>
    <w:rsid w:val="00441AF7"/>
    <w:rsid w:val="0068039F"/>
    <w:rsid w:val="006856F1"/>
    <w:rsid w:val="007F73A5"/>
    <w:rsid w:val="00A9230F"/>
    <w:rsid w:val="00B83EF0"/>
    <w:rsid w:val="00C5255C"/>
    <w:rsid w:val="00E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D2D16-3511-48D6-B527-A1F2906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3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0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39F"/>
    <w:pPr>
      <w:ind w:left="720"/>
      <w:contextualSpacing/>
    </w:pPr>
  </w:style>
  <w:style w:type="table" w:styleId="TableGrid">
    <w:name w:val="Table Grid"/>
    <w:basedOn w:val="TableNormal"/>
    <w:uiPriority w:val="59"/>
    <w:rsid w:val="007F73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5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zillion.com/lessonsets/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zillion.com/lessonsets/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zillion.com/lessonsets/1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zillion.com/lessonsets/5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zillion.com/lessonsets/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COLEY</dc:creator>
  <cp:lastModifiedBy>Jennie Winters</cp:lastModifiedBy>
  <cp:revision>2</cp:revision>
  <dcterms:created xsi:type="dcterms:W3CDTF">2014-08-09T21:17:00Z</dcterms:created>
  <dcterms:modified xsi:type="dcterms:W3CDTF">2014-08-09T21:17:00Z</dcterms:modified>
</cp:coreProperties>
</file>